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44E5F">
      <w:pPr>
        <w:pStyle w:val="35"/>
      </w:pPr>
    </w:p>
    <w:p w14:paraId="1C2F59B2">
      <w:pPr>
        <w:pStyle w:val="35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数字孪生技术微专业招生简章</w:t>
      </w:r>
    </w:p>
    <w:p w14:paraId="0232E5AD">
      <w:pPr>
        <w:pStyle w:val="35"/>
        <w:rPr>
          <w:rFonts w:hint="eastAsia" w:ascii="楷体" w:eastAsia="楷体" w:cs="楷体"/>
          <w:sz w:val="32"/>
          <w:szCs w:val="32"/>
        </w:rPr>
      </w:pPr>
    </w:p>
    <w:p w14:paraId="5F90CA91">
      <w:pPr>
        <w:pStyle w:val="35"/>
        <w:rPr>
          <w:rFonts w:ascii="楷体" w:eastAsia="楷体" w:cs="楷体"/>
          <w:b/>
          <w:bCs/>
          <w:sz w:val="32"/>
          <w:szCs w:val="32"/>
        </w:rPr>
      </w:pPr>
      <w:r>
        <w:rPr>
          <w:rFonts w:hint="eastAsia" w:ascii="楷体" w:eastAsia="楷体" w:cs="楷体"/>
          <w:b/>
          <w:bCs/>
          <w:sz w:val="32"/>
          <w:szCs w:val="32"/>
        </w:rPr>
        <w:t>一、培养目标</w:t>
      </w:r>
      <w:r>
        <w:rPr>
          <w:rFonts w:ascii="楷体" w:eastAsia="楷体" w:cs="楷体"/>
          <w:b/>
          <w:bCs/>
          <w:sz w:val="32"/>
          <w:szCs w:val="32"/>
        </w:rPr>
        <w:t xml:space="preserve"> </w:t>
      </w:r>
    </w:p>
    <w:p w14:paraId="1D5E42CC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面向数字中国建设的未来人才需求，面向智能传播时代信息技术发展的现实需要，旨在培养人工智能、数字孪生技术方向的，具备专业知识能力、实践操作能力和创新研究能力的应用型高级人才。</w:t>
      </w:r>
    </w:p>
    <w:p w14:paraId="56DBCB2B">
      <w:pPr>
        <w:pStyle w:val="35"/>
        <w:ind w:firstLine="560" w:firstLineChars="200"/>
        <w:rPr>
          <w:rFonts w:hint="eastAsia" w:ascii="楷体" w:eastAsia="楷体" w:cs="楷体"/>
          <w:sz w:val="28"/>
          <w:szCs w:val="28"/>
        </w:rPr>
      </w:pPr>
    </w:p>
    <w:p w14:paraId="04BF892B">
      <w:pPr>
        <w:pStyle w:val="35"/>
        <w:rPr>
          <w:rFonts w:ascii="楷体" w:eastAsia="楷体" w:cs="楷体"/>
          <w:b/>
          <w:bCs/>
          <w:sz w:val="32"/>
          <w:szCs w:val="32"/>
        </w:rPr>
      </w:pPr>
      <w:r>
        <w:rPr>
          <w:rFonts w:hint="eastAsia" w:ascii="楷体" w:eastAsia="楷体" w:cs="楷体"/>
          <w:b/>
          <w:bCs/>
          <w:sz w:val="32"/>
          <w:szCs w:val="32"/>
        </w:rPr>
        <w:t>二、报名条件</w:t>
      </w:r>
      <w:r>
        <w:rPr>
          <w:rFonts w:ascii="楷体" w:eastAsia="楷体" w:cs="楷体"/>
          <w:b/>
          <w:bCs/>
          <w:sz w:val="32"/>
          <w:szCs w:val="32"/>
        </w:rPr>
        <w:t xml:space="preserve"> </w:t>
      </w:r>
    </w:p>
    <w:p w14:paraId="79F16748">
      <w:pPr>
        <w:pStyle w:val="35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本微专业面向我校所有专业的在校学生，须具备以下条件：</w:t>
      </w:r>
    </w:p>
    <w:p w14:paraId="5650AA48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1</w:t>
      </w:r>
      <w:r>
        <w:rPr>
          <w:rFonts w:ascii="楷体" w:eastAsia="楷体" w:cs="楷体"/>
          <w:sz w:val="28"/>
          <w:szCs w:val="28"/>
        </w:rPr>
        <w:t>. 主修专业成绩良好，学有余力。</w:t>
      </w:r>
    </w:p>
    <w:p w14:paraId="3D143AE7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2</w:t>
      </w:r>
      <w:r>
        <w:rPr>
          <w:rFonts w:ascii="楷体" w:eastAsia="楷体" w:cs="楷体"/>
          <w:sz w:val="28"/>
          <w:szCs w:val="28"/>
        </w:rPr>
        <w:t xml:space="preserve">. </w:t>
      </w:r>
      <w:r>
        <w:rPr>
          <w:rFonts w:hint="eastAsia" w:ascii="楷体" w:eastAsia="楷体" w:cs="楷体"/>
          <w:sz w:val="28"/>
          <w:szCs w:val="28"/>
        </w:rPr>
        <w:t>对人工智能有基本的认识，对相关应用感兴趣，有从事相关工作的理想和抱负</w:t>
      </w:r>
      <w:r>
        <w:rPr>
          <w:rFonts w:ascii="楷体" w:eastAsia="楷体" w:cs="楷体"/>
          <w:sz w:val="28"/>
          <w:szCs w:val="28"/>
        </w:rPr>
        <w:t>。</w:t>
      </w:r>
    </w:p>
    <w:p w14:paraId="29851C12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3</w:t>
      </w:r>
      <w:r>
        <w:rPr>
          <w:rFonts w:ascii="楷体" w:eastAsia="楷体" w:cs="楷体"/>
          <w:sz w:val="28"/>
          <w:szCs w:val="28"/>
        </w:rPr>
        <w:t>.具有较强的沟通能力、学习能力及团队合作精神。</w:t>
      </w:r>
    </w:p>
    <w:p w14:paraId="3C047369">
      <w:pPr>
        <w:pStyle w:val="35"/>
        <w:ind w:firstLine="560" w:firstLineChars="200"/>
        <w:rPr>
          <w:rFonts w:hint="eastAsia" w:ascii="楷体" w:eastAsia="楷体" w:cs="楷体"/>
          <w:sz w:val="28"/>
          <w:szCs w:val="28"/>
        </w:rPr>
      </w:pPr>
    </w:p>
    <w:p w14:paraId="40B4A6DF">
      <w:pPr>
        <w:pStyle w:val="35"/>
        <w:rPr>
          <w:rFonts w:ascii="楷体" w:eastAsia="楷体" w:cs="楷体"/>
          <w:b/>
          <w:bCs/>
          <w:sz w:val="32"/>
          <w:szCs w:val="32"/>
        </w:rPr>
      </w:pPr>
      <w:r>
        <w:rPr>
          <w:rFonts w:hint="eastAsia" w:ascii="楷体" w:eastAsia="楷体" w:cs="楷体"/>
          <w:b/>
          <w:bCs/>
          <w:sz w:val="32"/>
          <w:szCs w:val="32"/>
        </w:rPr>
        <w:t>三、主要就业领域</w:t>
      </w:r>
      <w:r>
        <w:rPr>
          <w:rFonts w:ascii="楷体" w:eastAsia="楷体" w:cs="楷体"/>
          <w:b/>
          <w:bCs/>
          <w:sz w:val="32"/>
          <w:szCs w:val="32"/>
        </w:rPr>
        <w:t xml:space="preserve"> </w:t>
      </w:r>
    </w:p>
    <w:p w14:paraId="470FD1AC">
      <w:pPr>
        <w:pStyle w:val="35"/>
        <w:rPr>
          <w:rFonts w:hint="eastAsia"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文化创意产业：包括文化遗产保护、虚拟资产开发、数字化文物展示等。数字孪生技术在文化遗产保护与文化传播中发挥重要作用，推动文化创意和文旅产业的创新发展。</w:t>
      </w:r>
    </w:p>
    <w:p w14:paraId="50C71C40">
      <w:pPr>
        <w:pStyle w:val="35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虚拟现实与数字娱乐产业：涵盖虚拟仿真、沉浸式体验、教育培训及数字娱乐。数字孪生技术为</w:t>
      </w:r>
      <w:r>
        <w:rPr>
          <w:rFonts w:ascii="楷体" w:eastAsia="楷体" w:cs="楷体"/>
          <w:sz w:val="28"/>
          <w:szCs w:val="28"/>
        </w:rPr>
        <w:t>VR/AR和沉浸式互动体验提供技术支持，推动娱乐与教育行业的数字化变革。</w:t>
      </w:r>
    </w:p>
    <w:p w14:paraId="343DE313">
      <w:pPr>
        <w:pStyle w:val="35"/>
        <w:rPr>
          <w:rFonts w:hint="eastAsia" w:ascii="楷体" w:eastAsia="楷体" w:cs="楷体"/>
          <w:sz w:val="28"/>
          <w:szCs w:val="28"/>
        </w:rPr>
      </w:pPr>
    </w:p>
    <w:p w14:paraId="3A7B9F2D">
      <w:pPr>
        <w:pStyle w:val="35"/>
        <w:rPr>
          <w:rFonts w:hint="eastAsia" w:ascii="楷体" w:eastAsia="楷体" w:cs="楷体"/>
          <w:sz w:val="28"/>
          <w:szCs w:val="28"/>
        </w:rPr>
      </w:pPr>
    </w:p>
    <w:p w14:paraId="29A2C8B1">
      <w:pPr>
        <w:pStyle w:val="35"/>
        <w:rPr>
          <w:rFonts w:hint="eastAsia" w:ascii="楷体" w:eastAsia="楷体" w:cs="楷体"/>
          <w:b/>
          <w:bCs/>
          <w:sz w:val="28"/>
          <w:szCs w:val="28"/>
        </w:rPr>
      </w:pPr>
      <w:r>
        <w:rPr>
          <w:rFonts w:hint="eastAsia" w:ascii="楷体" w:eastAsia="楷体" w:cs="楷体"/>
          <w:b/>
          <w:bCs/>
          <w:sz w:val="32"/>
          <w:szCs w:val="32"/>
        </w:rPr>
        <w:t>四、课程一览表</w:t>
      </w:r>
    </w:p>
    <w:tbl>
      <w:tblPr>
        <w:tblStyle w:val="15"/>
        <w:tblW w:w="0" w:type="auto"/>
        <w:tblInd w:w="-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276"/>
        <w:gridCol w:w="1843"/>
        <w:gridCol w:w="1354"/>
      </w:tblGrid>
      <w:tr w14:paraId="010F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384" w:type="dxa"/>
            <w:vAlign w:val="center"/>
          </w:tcPr>
          <w:p w14:paraId="5C8A489F">
            <w:pPr>
              <w:pStyle w:val="35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开课学期</w:t>
            </w:r>
          </w:p>
        </w:tc>
        <w:tc>
          <w:tcPr>
            <w:tcW w:w="2268" w:type="dxa"/>
            <w:vAlign w:val="center"/>
          </w:tcPr>
          <w:p w14:paraId="4010D6A6">
            <w:pPr>
              <w:pStyle w:val="35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课程名称</w:t>
            </w:r>
          </w:p>
        </w:tc>
        <w:tc>
          <w:tcPr>
            <w:tcW w:w="1276" w:type="dxa"/>
            <w:vAlign w:val="center"/>
          </w:tcPr>
          <w:p w14:paraId="610784CE">
            <w:pPr>
              <w:pStyle w:val="35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课程负责人</w:t>
            </w:r>
          </w:p>
        </w:tc>
        <w:tc>
          <w:tcPr>
            <w:tcW w:w="1843" w:type="dxa"/>
            <w:vAlign w:val="center"/>
          </w:tcPr>
          <w:p w14:paraId="787EBF41">
            <w:pPr>
              <w:pStyle w:val="35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教学形式</w:t>
            </w:r>
          </w:p>
        </w:tc>
        <w:tc>
          <w:tcPr>
            <w:tcW w:w="1354" w:type="dxa"/>
            <w:vAlign w:val="center"/>
          </w:tcPr>
          <w:p w14:paraId="317C1A73">
            <w:pPr>
              <w:pStyle w:val="35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上课时间</w:t>
            </w:r>
          </w:p>
        </w:tc>
      </w:tr>
      <w:tr w14:paraId="1B506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384" w:type="dxa"/>
            <w:vMerge w:val="restart"/>
            <w:vAlign w:val="center"/>
          </w:tcPr>
          <w:p w14:paraId="570AC553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2024-2025第一学期</w:t>
            </w:r>
          </w:p>
          <w:p w14:paraId="48183502">
            <w:pPr>
              <w:pStyle w:val="35"/>
              <w:jc w:val="center"/>
              <w:rPr>
                <w:rFonts w:hint="eastAsia" w:ascii="楷体" w:eastAsia="楷体" w:cs="楷体"/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63B65A3A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ascii="楷体" w:eastAsia="楷体" w:cs="楷体"/>
                <w:sz w:val="23"/>
                <w:szCs w:val="23"/>
              </w:rPr>
              <w:t>Python程序设计</w:t>
            </w:r>
          </w:p>
        </w:tc>
        <w:tc>
          <w:tcPr>
            <w:tcW w:w="1276" w:type="dxa"/>
            <w:vAlign w:val="center"/>
          </w:tcPr>
          <w:p w14:paraId="65B059D4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朱苏阳</w:t>
            </w:r>
          </w:p>
        </w:tc>
        <w:tc>
          <w:tcPr>
            <w:tcW w:w="1843" w:type="dxa"/>
            <w:vAlign w:val="center"/>
          </w:tcPr>
          <w:p w14:paraId="39731666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线上线下混合</w:t>
            </w:r>
          </w:p>
        </w:tc>
        <w:tc>
          <w:tcPr>
            <w:tcW w:w="1354" w:type="dxa"/>
            <w:vAlign w:val="center"/>
          </w:tcPr>
          <w:p w14:paraId="0F2F0E9D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周六上午</w:t>
            </w:r>
          </w:p>
        </w:tc>
      </w:tr>
      <w:tr w14:paraId="35592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384" w:type="dxa"/>
            <w:vMerge w:val="continue"/>
            <w:vAlign w:val="center"/>
          </w:tcPr>
          <w:p w14:paraId="75DC845A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27CE5699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深度学习基础</w:t>
            </w:r>
          </w:p>
        </w:tc>
        <w:tc>
          <w:tcPr>
            <w:tcW w:w="1276" w:type="dxa"/>
            <w:vAlign w:val="center"/>
          </w:tcPr>
          <w:p w14:paraId="4D9359C8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汤家华</w:t>
            </w:r>
          </w:p>
        </w:tc>
        <w:tc>
          <w:tcPr>
            <w:tcW w:w="1843" w:type="dxa"/>
            <w:vAlign w:val="center"/>
          </w:tcPr>
          <w:p w14:paraId="31DD069F">
            <w:pPr>
              <w:pStyle w:val="35"/>
              <w:jc w:val="center"/>
              <w:rPr>
                <w:rFonts w:hint="eastAsia"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线下课程</w:t>
            </w:r>
          </w:p>
        </w:tc>
        <w:tc>
          <w:tcPr>
            <w:tcW w:w="1354" w:type="dxa"/>
            <w:vAlign w:val="center"/>
          </w:tcPr>
          <w:p w14:paraId="0753CFD7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周三晚上</w:t>
            </w:r>
          </w:p>
        </w:tc>
      </w:tr>
      <w:tr w14:paraId="58B8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384" w:type="dxa"/>
            <w:vMerge w:val="restart"/>
            <w:vAlign w:val="center"/>
          </w:tcPr>
          <w:p w14:paraId="5FA4D150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2024-2025第二学期</w:t>
            </w:r>
          </w:p>
          <w:p w14:paraId="3883B9F4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3081A5C6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基于深度学习的工业检测应用</w:t>
            </w:r>
          </w:p>
        </w:tc>
        <w:tc>
          <w:tcPr>
            <w:tcW w:w="1276" w:type="dxa"/>
            <w:vAlign w:val="center"/>
          </w:tcPr>
          <w:p w14:paraId="4FD72181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周彤彤</w:t>
            </w:r>
          </w:p>
          <w:p w14:paraId="122A3E89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ascii="楷体" w:eastAsia="楷体" w:cs="楷体"/>
                <w:sz w:val="23"/>
                <w:szCs w:val="23"/>
              </w:rPr>
              <w:t>燕子桁</w:t>
            </w:r>
          </w:p>
        </w:tc>
        <w:tc>
          <w:tcPr>
            <w:tcW w:w="1843" w:type="dxa"/>
            <w:vAlign w:val="center"/>
          </w:tcPr>
          <w:p w14:paraId="78C1787D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线上线下混合</w:t>
            </w:r>
          </w:p>
        </w:tc>
        <w:tc>
          <w:tcPr>
            <w:tcW w:w="1354" w:type="dxa"/>
            <w:vAlign w:val="center"/>
          </w:tcPr>
          <w:p w14:paraId="31385244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周六</w:t>
            </w:r>
          </w:p>
        </w:tc>
      </w:tr>
      <w:tr w14:paraId="6CD9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1384" w:type="dxa"/>
            <w:vMerge w:val="continue"/>
            <w:vAlign w:val="center"/>
          </w:tcPr>
          <w:p w14:paraId="42FB89FB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46E94BE8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构建基于扩散模型的生成式</w:t>
            </w:r>
            <w:r>
              <w:rPr>
                <w:rFonts w:ascii="楷体" w:eastAsia="楷体" w:cs="楷体"/>
                <w:sz w:val="23"/>
                <w:szCs w:val="23"/>
              </w:rPr>
              <w:t>AI</w:t>
            </w:r>
          </w:p>
        </w:tc>
        <w:tc>
          <w:tcPr>
            <w:tcW w:w="1276" w:type="dxa"/>
            <w:vAlign w:val="center"/>
          </w:tcPr>
          <w:p w14:paraId="4FCB369F">
            <w:pPr>
              <w:pStyle w:val="35"/>
              <w:jc w:val="center"/>
              <w:rPr>
                <w:rFonts w:hint="eastAsia"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汤家华</w:t>
            </w:r>
          </w:p>
          <w:p w14:paraId="7F11E86E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魏凡哲</w:t>
            </w:r>
          </w:p>
        </w:tc>
        <w:tc>
          <w:tcPr>
            <w:tcW w:w="1843" w:type="dxa"/>
            <w:vAlign w:val="center"/>
          </w:tcPr>
          <w:p w14:paraId="6D0ECC67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线上线下混合</w:t>
            </w:r>
          </w:p>
        </w:tc>
        <w:tc>
          <w:tcPr>
            <w:tcW w:w="1354" w:type="dxa"/>
            <w:vAlign w:val="center"/>
          </w:tcPr>
          <w:p w14:paraId="6BC482C7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周六</w:t>
            </w:r>
          </w:p>
        </w:tc>
      </w:tr>
      <w:tr w14:paraId="39FB9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384" w:type="dxa"/>
            <w:vMerge w:val="continue"/>
            <w:vAlign w:val="center"/>
          </w:tcPr>
          <w:p w14:paraId="0069A091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</w:p>
        </w:tc>
        <w:tc>
          <w:tcPr>
            <w:tcW w:w="2268" w:type="dxa"/>
            <w:vAlign w:val="center"/>
          </w:tcPr>
          <w:p w14:paraId="6F417F9D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基于</w:t>
            </w:r>
            <w:r>
              <w:rPr>
                <w:rFonts w:ascii="楷体" w:eastAsia="楷体" w:cs="楷体"/>
                <w:sz w:val="23"/>
                <w:szCs w:val="23"/>
              </w:rPr>
              <w:t>Omniverse Audio2Face &amp; Riva的数字人构建</w:t>
            </w:r>
          </w:p>
        </w:tc>
        <w:tc>
          <w:tcPr>
            <w:tcW w:w="1276" w:type="dxa"/>
            <w:vAlign w:val="center"/>
          </w:tcPr>
          <w:p w14:paraId="47CBAC2B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朱苏阳、彭程</w:t>
            </w:r>
          </w:p>
        </w:tc>
        <w:tc>
          <w:tcPr>
            <w:tcW w:w="1843" w:type="dxa"/>
            <w:vAlign w:val="center"/>
          </w:tcPr>
          <w:p w14:paraId="3EC998EE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线上线下混合</w:t>
            </w:r>
          </w:p>
        </w:tc>
        <w:tc>
          <w:tcPr>
            <w:tcW w:w="1354" w:type="dxa"/>
            <w:vAlign w:val="center"/>
          </w:tcPr>
          <w:p w14:paraId="56FCC417">
            <w:pPr>
              <w:pStyle w:val="35"/>
              <w:jc w:val="center"/>
              <w:rPr>
                <w:rFonts w:ascii="楷体" w:eastAsia="楷体" w:cs="楷体"/>
                <w:sz w:val="23"/>
                <w:szCs w:val="23"/>
              </w:rPr>
            </w:pPr>
            <w:r>
              <w:rPr>
                <w:rFonts w:hint="eastAsia" w:ascii="楷体" w:eastAsia="楷体" w:cs="楷体"/>
                <w:sz w:val="23"/>
                <w:szCs w:val="23"/>
              </w:rPr>
              <w:t>周六</w:t>
            </w:r>
          </w:p>
        </w:tc>
      </w:tr>
    </w:tbl>
    <w:p w14:paraId="64C247A0">
      <w:pPr>
        <w:pStyle w:val="35"/>
        <w:rPr>
          <w:rFonts w:ascii="楷体" w:eastAsia="楷体" w:cs="楷体"/>
          <w:sz w:val="32"/>
          <w:szCs w:val="32"/>
        </w:rPr>
      </w:pPr>
    </w:p>
    <w:p w14:paraId="1EC9069F">
      <w:pPr>
        <w:pStyle w:val="35"/>
        <w:rPr>
          <w:rFonts w:hint="eastAsia" w:ascii="楷体" w:eastAsia="楷体" w:cs="楷体"/>
          <w:b/>
          <w:bCs/>
          <w:sz w:val="28"/>
          <w:szCs w:val="28"/>
        </w:rPr>
      </w:pPr>
      <w:r>
        <w:rPr>
          <w:rFonts w:hint="eastAsia" w:ascii="楷体" w:eastAsia="楷体" w:cs="楷体"/>
          <w:b/>
          <w:bCs/>
          <w:sz w:val="32"/>
          <w:szCs w:val="32"/>
        </w:rPr>
        <w:t>五、合作单位简介</w:t>
      </w:r>
    </w:p>
    <w:p w14:paraId="40378395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南京万生华态科技有限公司是一家能够批量生产高精度</w:t>
      </w:r>
      <w:r>
        <w:rPr>
          <w:rFonts w:ascii="楷体" w:eastAsia="楷体" w:cs="楷体"/>
          <w:sz w:val="28"/>
          <w:szCs w:val="28"/>
        </w:rPr>
        <w:t>3D扫描模型和PBR材质的科技公司，为影视娱乐、教育、工业设计、游戏、数字文旅等行业提供前沿的一站式软硬件解决方案。公司主要产品包括3D数字资产与PBR材质平台、SaaS软件协同平台、数字人虚拟拍摄流程、实时渲染云等，将为无数创作者带来革命性的创作体验。</w:t>
      </w:r>
    </w:p>
    <w:p w14:paraId="012E77C6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万生华态核心团队融合</w:t>
      </w:r>
      <w:r>
        <w:rPr>
          <w:rFonts w:ascii="楷体" w:eastAsia="楷体" w:cs="楷体"/>
          <w:sz w:val="28"/>
          <w:szCs w:val="28"/>
        </w:rPr>
        <w:t>IT、媒体、艺术和设计等多方面人才，结合国内外不同理念与技术，发挥中国制造优势，打造出我国自主制定标准、3D扫描模型与PBR材质平台。万生华态以数字资产库为核心，实时3D云渲染架构为底层，利用AI与SaaS流程软件颠覆现有内容制作流程，赋能各个行业向虚拟仿真生态转型，与硬件生态合作伙伴共同推进5G时代下的3D沉浸式数字交互体验。万生华态坚持自主创新，加快5G时代下我国实时三维虚拟仿真、混合现实交互、三维数字资产标准及数字版权等核心技术攻关，融合艺术与科技，降低创作门槛，持续赋能创作者将想</w:t>
      </w:r>
      <w:r>
        <w:rPr>
          <w:rFonts w:hint="eastAsia" w:ascii="楷体" w:eastAsia="楷体" w:cs="楷体"/>
          <w:sz w:val="28"/>
          <w:szCs w:val="28"/>
        </w:rPr>
        <w:t>象变为现实。</w:t>
      </w:r>
    </w:p>
    <w:p w14:paraId="1C7B7B3E">
      <w:pPr>
        <w:pStyle w:val="35"/>
        <w:rPr>
          <w:rFonts w:ascii="楷体" w:eastAsia="楷体" w:cs="楷体"/>
          <w:sz w:val="28"/>
          <w:szCs w:val="28"/>
        </w:rPr>
      </w:pPr>
    </w:p>
    <w:p w14:paraId="1934ECE2">
      <w:pPr>
        <w:pStyle w:val="35"/>
        <w:rPr>
          <w:rFonts w:hint="eastAsia" w:ascii="楷体" w:eastAsia="楷体" w:cs="楷体"/>
          <w:b/>
          <w:bCs/>
          <w:sz w:val="28"/>
          <w:szCs w:val="28"/>
        </w:rPr>
      </w:pPr>
      <w:r>
        <w:rPr>
          <w:rFonts w:hint="eastAsia" w:ascii="楷体" w:eastAsia="楷体" w:cs="楷体"/>
          <w:b/>
          <w:bCs/>
          <w:sz w:val="28"/>
          <w:szCs w:val="28"/>
        </w:rPr>
        <w:t>六、主讲教师简介</w:t>
      </w:r>
    </w:p>
    <w:p w14:paraId="2E48BBB5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朱苏阳，苏州城市学院计算科学与人工智能学院讲师，博士，苏州大学师资博士后，主讲《</w:t>
      </w:r>
      <w:r>
        <w:rPr>
          <w:rFonts w:ascii="楷体" w:eastAsia="楷体" w:cs="楷体"/>
          <w:sz w:val="28"/>
          <w:szCs w:val="28"/>
        </w:rPr>
        <w:t>Python程序设计</w:t>
      </w:r>
      <w:r>
        <w:rPr>
          <w:rFonts w:hint="eastAsia" w:ascii="楷体" w:eastAsia="楷体" w:cs="楷体"/>
          <w:sz w:val="28"/>
          <w:szCs w:val="28"/>
        </w:rPr>
        <w:t>》、《基于</w:t>
      </w:r>
      <w:r>
        <w:rPr>
          <w:rFonts w:ascii="楷体" w:eastAsia="楷体" w:cs="楷体"/>
          <w:sz w:val="28"/>
          <w:szCs w:val="28"/>
        </w:rPr>
        <w:t>Omniverse Audio2Face &amp; Riva的数字人构建</w:t>
      </w:r>
      <w:r>
        <w:rPr>
          <w:rFonts w:hint="eastAsia" w:ascii="楷体" w:eastAsia="楷体" w:cs="楷体"/>
          <w:sz w:val="28"/>
          <w:szCs w:val="28"/>
        </w:rPr>
        <w:t>》等课程。</w:t>
      </w:r>
    </w:p>
    <w:p w14:paraId="10346371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汤家华，苏州城市学院计算科学与人工智能学院讲师，博士，英伟达认证校园大使，主讲《深度学习基础》、《构建基于扩散模型的生成式</w:t>
      </w:r>
      <w:r>
        <w:rPr>
          <w:rFonts w:ascii="楷体" w:eastAsia="楷体" w:cs="楷体"/>
          <w:sz w:val="28"/>
          <w:szCs w:val="28"/>
        </w:rPr>
        <w:t>AI</w:t>
      </w:r>
      <w:r>
        <w:rPr>
          <w:rFonts w:hint="eastAsia" w:ascii="楷体" w:eastAsia="楷体" w:cs="楷体"/>
          <w:sz w:val="28"/>
          <w:szCs w:val="28"/>
        </w:rPr>
        <w:t>》等课程。</w:t>
      </w:r>
    </w:p>
    <w:p w14:paraId="6BA4B522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周彤彤，苏州城市学院光学与电子信息学院讲师，硕士，主讲《基于深度学习的工业检测应用》等课程。</w:t>
      </w:r>
    </w:p>
    <w:p w14:paraId="510FDDB7">
      <w:pPr>
        <w:pStyle w:val="35"/>
        <w:ind w:firstLine="560" w:firstLineChars="200"/>
        <w:rPr>
          <w:rFonts w:hint="eastAsia"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燕子桁，南京万生华态科技有限公司AIGC项目数字艺术总监，主讲《基于深度学习的工业检测应用》。</w:t>
      </w:r>
    </w:p>
    <w:p w14:paraId="0DF7FEA5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魏凡哲，南京万生华态科技有限公司AIGC项目技术总负责人，主讲《构建基于扩散模型的生成式</w:t>
      </w:r>
      <w:r>
        <w:rPr>
          <w:rFonts w:ascii="楷体" w:eastAsia="楷体" w:cs="楷体"/>
          <w:sz w:val="28"/>
          <w:szCs w:val="28"/>
        </w:rPr>
        <w:t>AI</w:t>
      </w:r>
      <w:r>
        <w:rPr>
          <w:rFonts w:hint="eastAsia" w:ascii="楷体" w:eastAsia="楷体" w:cs="楷体"/>
          <w:sz w:val="28"/>
          <w:szCs w:val="28"/>
        </w:rPr>
        <w:t>》。</w:t>
      </w:r>
    </w:p>
    <w:p w14:paraId="677AEEA1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</w:rPr>
        <w:t>彭程，南京万生华态科技有限公司董事长，主讲《基于</w:t>
      </w:r>
      <w:r>
        <w:rPr>
          <w:rFonts w:ascii="楷体" w:eastAsia="楷体" w:cs="楷体"/>
          <w:sz w:val="28"/>
          <w:szCs w:val="28"/>
        </w:rPr>
        <w:t>Omniverse Audio2Face &amp; Riva的数字人构建</w:t>
      </w:r>
      <w:r>
        <w:rPr>
          <w:rFonts w:hint="eastAsia" w:ascii="楷体" w:eastAsia="楷体" w:cs="楷体"/>
          <w:sz w:val="28"/>
          <w:szCs w:val="28"/>
        </w:rPr>
        <w:t>》。</w:t>
      </w:r>
    </w:p>
    <w:p w14:paraId="1971F61F">
      <w:pPr>
        <w:pStyle w:val="35"/>
        <w:ind w:firstLine="560" w:firstLineChars="200"/>
        <w:rPr>
          <w:rFonts w:ascii="楷体" w:eastAsia="楷体" w:cs="楷体"/>
          <w:sz w:val="28"/>
          <w:szCs w:val="28"/>
        </w:rPr>
      </w:pPr>
    </w:p>
    <w:p w14:paraId="2F81C833">
      <w:pPr>
        <w:pStyle w:val="35"/>
        <w:jc w:val="left"/>
        <w:rPr>
          <w:rFonts w:ascii="楷体" w:eastAsia="楷体" w:cs="楷体"/>
          <w:sz w:val="28"/>
          <w:szCs w:val="28"/>
        </w:rPr>
      </w:pPr>
      <w:r>
        <w:rPr>
          <w:rFonts w:hint="eastAsia" w:ascii="楷体" w:eastAsia="楷体" w:cs="楷体"/>
          <w:sz w:val="28"/>
          <w:szCs w:val="28"/>
          <w:lang w:val="en-US" w:eastAsia="zh-CN"/>
        </w:rPr>
        <w:t>联系人：汤家华老师。</w:t>
      </w:r>
      <w:r>
        <w:rPr>
          <w:rFonts w:hint="eastAsia" w:ascii="楷体" w:eastAsia="楷体" w:cs="楷体"/>
          <w:sz w:val="28"/>
          <w:szCs w:val="28"/>
        </w:rPr>
        <w:t>办公室：师生服务大楼21</w:t>
      </w:r>
      <w:r>
        <w:rPr>
          <w:rFonts w:ascii="楷体" w:eastAsia="楷体" w:cs="楷体"/>
          <w:sz w:val="28"/>
          <w:szCs w:val="28"/>
        </w:rPr>
        <w:t>7，</w:t>
      </w:r>
    </w:p>
    <w:p w14:paraId="6A5D2780">
      <w:pPr>
        <w:pStyle w:val="35"/>
        <w:jc w:val="left"/>
        <w:rPr>
          <w:rFonts w:hint="eastAsia" w:ascii="楷体" w:eastAsia="楷体" w:cs="楷体"/>
          <w:sz w:val="28"/>
          <w:szCs w:val="28"/>
        </w:rPr>
      </w:pPr>
      <w:r>
        <w:rPr>
          <w:rFonts w:ascii="楷体" w:eastAsia="楷体" w:cs="楷体"/>
          <w:sz w:val="28"/>
          <w:szCs w:val="28"/>
        </w:rPr>
        <w:t>邮箱：</w:t>
      </w:r>
      <w:r>
        <w:rPr>
          <w:rFonts w:hint="eastAsia" w:ascii="楷体" w:eastAsia="楷体" w:cs="楷体"/>
          <w:sz w:val="28"/>
          <w:szCs w:val="28"/>
        </w:rPr>
        <w:t>hensontang</w:t>
      </w:r>
      <w:r>
        <w:rPr>
          <w:rFonts w:ascii="楷体" w:eastAsia="楷体" w:cs="楷体"/>
          <w:sz w:val="28"/>
          <w:szCs w:val="28"/>
        </w:rPr>
        <w:t>@szcu.edu.cn）</w:t>
      </w:r>
    </w:p>
    <w:p w14:paraId="206E5E99">
      <w:pPr>
        <w:pStyle w:val="35"/>
        <w:rPr>
          <w:rFonts w:hint="eastAsia" w:ascii="楷体" w:eastAsia="楷体" w:cs="楷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xYTM5MTViNjNkM2Q4MWU2NjAzNzE5YzMyYTdjN2MifQ=="/>
  </w:docVars>
  <w:rsids>
    <w:rsidRoot w:val="00B0711C"/>
    <w:rsid w:val="00046195"/>
    <w:rsid w:val="0005702E"/>
    <w:rsid w:val="000959C2"/>
    <w:rsid w:val="000C5F91"/>
    <w:rsid w:val="000C66A4"/>
    <w:rsid w:val="000E601C"/>
    <w:rsid w:val="00150AE3"/>
    <w:rsid w:val="001A4037"/>
    <w:rsid w:val="001B396D"/>
    <w:rsid w:val="001C7F1A"/>
    <w:rsid w:val="001D1099"/>
    <w:rsid w:val="00244894"/>
    <w:rsid w:val="002B3E0E"/>
    <w:rsid w:val="003161DD"/>
    <w:rsid w:val="00350041"/>
    <w:rsid w:val="00393AD0"/>
    <w:rsid w:val="003C230C"/>
    <w:rsid w:val="004476F2"/>
    <w:rsid w:val="00473741"/>
    <w:rsid w:val="00512552"/>
    <w:rsid w:val="005A5DEE"/>
    <w:rsid w:val="005C16F0"/>
    <w:rsid w:val="005D7654"/>
    <w:rsid w:val="00745AE0"/>
    <w:rsid w:val="00833AB7"/>
    <w:rsid w:val="008757AB"/>
    <w:rsid w:val="008B32E9"/>
    <w:rsid w:val="008E218D"/>
    <w:rsid w:val="008E3CD6"/>
    <w:rsid w:val="009E5295"/>
    <w:rsid w:val="00A71DC3"/>
    <w:rsid w:val="00AA3097"/>
    <w:rsid w:val="00AD1F59"/>
    <w:rsid w:val="00AD4571"/>
    <w:rsid w:val="00B0711C"/>
    <w:rsid w:val="00B4470A"/>
    <w:rsid w:val="00B521CD"/>
    <w:rsid w:val="00BB6F05"/>
    <w:rsid w:val="00C16858"/>
    <w:rsid w:val="00C80FAB"/>
    <w:rsid w:val="00D81E21"/>
    <w:rsid w:val="00DD2BD4"/>
    <w:rsid w:val="00EB4F26"/>
    <w:rsid w:val="00F1701A"/>
    <w:rsid w:val="00F47E1E"/>
    <w:rsid w:val="00F6278C"/>
    <w:rsid w:val="00F816D7"/>
    <w:rsid w:val="00F8320E"/>
    <w:rsid w:val="00FA3916"/>
    <w:rsid w:val="1CC8359B"/>
    <w:rsid w:val="29C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  <w14:ligatures w14:val="standardContextual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1283</Words>
  <Characters>1429</Characters>
  <Lines>10</Lines>
  <Paragraphs>3</Paragraphs>
  <TotalTime>179</TotalTime>
  <ScaleCrop>false</ScaleCrop>
  <LinksUpToDate>false</LinksUpToDate>
  <CharactersWithSpaces>1443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2024-09-08T17:12:00Z</dcterms:created>
  <dc:creator>TJH</dc:creator>
  <cp:lastModifiedBy>WPS_1660532146</cp:lastModifiedBy>
  <dcterms:modified xsi:type="dcterms:W3CDTF">2024-09-09T07:42:58Z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F585EBD611264C668A773DB6EB0DF635_13</vt:lpwstr>
  </property>
</Properties>
</file>